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B1" w:rsidRDefault="002D3DB1">
      <w:pPr>
        <w:pStyle w:val="berschrift3"/>
        <w:spacing w:line="1" w:lineRule="atLeast"/>
        <w:rPr>
          <w:rFonts w:ascii="Myriad Pro-Semibold" w:hAnsi="Myriad Pro-Semibold" w:cs="Myriad Pro-Semibold"/>
          <w:sz w:val="30"/>
          <w:szCs w:val="30"/>
        </w:rPr>
      </w:pPr>
      <w:bookmarkStart w:id="0" w:name="_GoBack"/>
      <w:bookmarkEnd w:id="0"/>
    </w:p>
    <w:p w:rsidR="002D3DB1" w:rsidRDefault="008004CE" w:rsidP="00430EE3">
      <w:pPr>
        <w:pStyle w:val="berschrift3"/>
        <w:spacing w:line="1" w:lineRule="atLeast"/>
        <w:rPr>
          <w:rFonts w:ascii="Myriad Pro-Regular" w:hAnsi="Myriad Pro-Regular" w:cs="Myriad Pro-Regular"/>
        </w:rPr>
      </w:pPr>
      <w:r>
        <w:rPr>
          <w:rFonts w:ascii="Myriad Pro-Semibold" w:hAnsi="Myriad Pro-Semibold" w:cs="Myriad Pro-Semibold"/>
          <w:b/>
          <w:bCs/>
          <w:color w:val="003869"/>
          <w:sz w:val="36"/>
          <w:szCs w:val="36"/>
        </w:rPr>
        <w:t>Evaluationsbogen „Vorstandsarbeit“</w:t>
      </w:r>
      <w:r w:rsidR="002D3DB1">
        <w:rPr>
          <w:rFonts w:cs="Chantilly Regular"/>
          <w:b/>
          <w:bCs/>
          <w:color w:val="003869"/>
          <w:sz w:val="20"/>
          <w:szCs w:val="20"/>
        </w:rPr>
        <w:br/>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0"/>
        <w:gridCol w:w="851"/>
        <w:gridCol w:w="850"/>
        <w:gridCol w:w="851"/>
        <w:gridCol w:w="850"/>
        <w:gridCol w:w="851"/>
      </w:tblGrid>
      <w:tr w:rsidR="002D3DB1" w:rsidTr="0097176C">
        <w:tblPrEx>
          <w:tblCellMar>
            <w:top w:w="0" w:type="dxa"/>
            <w:left w:w="0" w:type="dxa"/>
            <w:bottom w:w="0" w:type="dxa"/>
            <w:right w:w="0" w:type="dxa"/>
          </w:tblCellMar>
        </w:tblPrEx>
        <w:trPr>
          <w:cantSplit/>
          <w:trHeight w:val="230"/>
        </w:trPr>
        <w:tc>
          <w:tcPr>
            <w:tcW w:w="5670" w:type="dxa"/>
            <w:vMerge w:val="restart"/>
          </w:tcPr>
          <w:p w:rsidR="002D3DB1" w:rsidRDefault="002D3DB1">
            <w:pPr>
              <w:rPr>
                <w:rFonts w:ascii="Myriad Pro-Regular" w:hAnsi="Myriad Pro-Regular" w:cs="Myriad Pro-Regular"/>
              </w:rPr>
            </w:pPr>
          </w:p>
        </w:tc>
        <w:tc>
          <w:tcPr>
            <w:tcW w:w="851" w:type="dxa"/>
            <w:vMerge w:val="restart"/>
          </w:tcPr>
          <w:p w:rsidR="002D3DB1" w:rsidRDefault="002D3DB1">
            <w:pPr>
              <w:pStyle w:val="Style15"/>
              <w:rPr>
                <w:rFonts w:ascii="Myriad Pro-Bold" w:hAnsi="Myriad Pro-Bold" w:cs="Myriad Pro-Bold"/>
              </w:rPr>
            </w:pPr>
            <w:r>
              <w:rPr>
                <w:rFonts w:ascii="Myriad Pro-Bold" w:hAnsi="Myriad Pro-Bold" w:cs="Myriad Pro-Bold"/>
                <w:b/>
                <w:bCs/>
                <w:color w:val="003869"/>
              </w:rPr>
              <w:t xml:space="preserve">stimme voll zu </w:t>
            </w:r>
          </w:p>
        </w:tc>
        <w:tc>
          <w:tcPr>
            <w:tcW w:w="850" w:type="dxa"/>
            <w:vMerge w:val="restart"/>
          </w:tcPr>
          <w:p w:rsidR="002D3DB1" w:rsidRDefault="002D3DB1">
            <w:pPr>
              <w:pStyle w:val="Style15"/>
              <w:rPr>
                <w:rFonts w:ascii="Myriad Pro-Bold" w:hAnsi="Myriad Pro-Bold" w:cs="Myriad Pro-Bold"/>
              </w:rPr>
            </w:pPr>
            <w:r>
              <w:rPr>
                <w:rFonts w:ascii="Myriad Pro-Bold" w:hAnsi="Myriad Pro-Bold" w:cs="Myriad Pro-Bold"/>
                <w:b/>
                <w:bCs/>
                <w:color w:val="003869"/>
              </w:rPr>
              <w:t>stimme eher</w:t>
            </w:r>
            <w:r>
              <w:rPr>
                <w:b/>
                <w:bCs/>
                <w:color w:val="003869"/>
                <w:sz w:val="20"/>
                <w:szCs w:val="20"/>
              </w:rPr>
              <w:br/>
            </w:r>
            <w:r w:rsidR="0097176C">
              <w:rPr>
                <w:rFonts w:ascii="Myriad Pro-Bold" w:hAnsi="Myriad Pro-Bold" w:cs="Myriad Pro-Bold"/>
                <w:b/>
                <w:bCs/>
                <w:color w:val="003869"/>
              </w:rPr>
              <w:t>zu</w:t>
            </w:r>
          </w:p>
        </w:tc>
        <w:tc>
          <w:tcPr>
            <w:tcW w:w="851" w:type="dxa"/>
            <w:vMerge w:val="restart"/>
          </w:tcPr>
          <w:p w:rsidR="002D3DB1" w:rsidRDefault="0097176C">
            <w:pPr>
              <w:pStyle w:val="Style15"/>
              <w:rPr>
                <w:rFonts w:ascii="Myriad Pro-Bold" w:hAnsi="Myriad Pro-Bold" w:cs="Myriad Pro-Bold"/>
              </w:rPr>
            </w:pPr>
            <w:r>
              <w:rPr>
                <w:rFonts w:ascii="Myriad Pro-Bold" w:hAnsi="Myriad Pro-Bold" w:cs="Myriad Pro-Bold"/>
                <w:b/>
                <w:bCs/>
                <w:color w:val="003869"/>
              </w:rPr>
              <w:t>stimme teils/ teils zu</w:t>
            </w:r>
          </w:p>
        </w:tc>
        <w:tc>
          <w:tcPr>
            <w:tcW w:w="850" w:type="dxa"/>
            <w:vMerge w:val="restart"/>
          </w:tcPr>
          <w:p w:rsidR="002D3DB1" w:rsidRDefault="0097176C">
            <w:pPr>
              <w:pStyle w:val="Style20"/>
              <w:rPr>
                <w:rFonts w:ascii="Myriad Pro-Bold" w:hAnsi="Myriad Pro-Bold" w:cs="Myriad Pro-Bold"/>
              </w:rPr>
            </w:pPr>
            <w:r>
              <w:rPr>
                <w:rFonts w:ascii="Myriad Pro-Bold" w:hAnsi="Myriad Pro-Bold" w:cs="Myriad Pro-Bold"/>
                <w:b/>
                <w:bCs/>
                <w:color w:val="003869"/>
              </w:rPr>
              <w:t>stimme weniger zu</w:t>
            </w:r>
          </w:p>
        </w:tc>
        <w:tc>
          <w:tcPr>
            <w:tcW w:w="851" w:type="dxa"/>
            <w:vMerge w:val="restart"/>
          </w:tcPr>
          <w:p w:rsidR="002D3DB1" w:rsidRDefault="0097176C">
            <w:pPr>
              <w:pStyle w:val="Style15"/>
              <w:rPr>
                <w:rFonts w:ascii="Myriad Pro-Bold" w:hAnsi="Myriad Pro-Bold" w:cs="Myriad Pro-Bold"/>
              </w:rPr>
            </w:pPr>
            <w:r>
              <w:rPr>
                <w:rFonts w:ascii="Myriad Pro-Bold" w:hAnsi="Myriad Pro-Bold" w:cs="Myriad Pro-Bold"/>
                <w:b/>
                <w:bCs/>
                <w:color w:val="003869"/>
              </w:rPr>
              <w:t>stimme nicht zu</w:t>
            </w:r>
          </w:p>
        </w:tc>
      </w:tr>
      <w:tr w:rsidR="002D3DB1" w:rsidTr="00965CB0">
        <w:tblPrEx>
          <w:tblCellMar>
            <w:top w:w="0" w:type="dxa"/>
            <w:left w:w="0" w:type="dxa"/>
            <w:bottom w:w="0" w:type="dxa"/>
            <w:right w:w="0" w:type="dxa"/>
          </w:tblCellMar>
        </w:tblPrEx>
        <w:trPr>
          <w:cantSplit/>
          <w:trHeight w:val="207"/>
        </w:trPr>
        <w:tc>
          <w:tcPr>
            <w:tcW w:w="567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r>
      <w:tr w:rsidR="002D3DB1" w:rsidTr="00965CB0">
        <w:tblPrEx>
          <w:tblCellMar>
            <w:top w:w="0" w:type="dxa"/>
            <w:left w:w="0" w:type="dxa"/>
            <w:bottom w:w="0" w:type="dxa"/>
            <w:right w:w="0" w:type="dxa"/>
          </w:tblCellMar>
        </w:tblPrEx>
        <w:trPr>
          <w:cantSplit/>
          <w:trHeight w:val="207"/>
        </w:trPr>
        <w:tc>
          <w:tcPr>
            <w:tcW w:w="567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r>
      <w:tr w:rsidR="002D3DB1" w:rsidTr="00965CB0">
        <w:tblPrEx>
          <w:tblCellMar>
            <w:top w:w="0" w:type="dxa"/>
            <w:left w:w="0" w:type="dxa"/>
            <w:bottom w:w="0" w:type="dxa"/>
            <w:right w:w="0" w:type="dxa"/>
          </w:tblCellMar>
        </w:tblPrEx>
        <w:trPr>
          <w:cantSplit/>
          <w:trHeight w:val="207"/>
        </w:trPr>
        <w:tc>
          <w:tcPr>
            <w:tcW w:w="567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r>
      <w:tr w:rsidR="002D3DB1" w:rsidTr="00965CB0">
        <w:tblPrEx>
          <w:tblCellMar>
            <w:top w:w="0" w:type="dxa"/>
            <w:left w:w="0" w:type="dxa"/>
            <w:bottom w:w="0" w:type="dxa"/>
            <w:right w:w="0" w:type="dxa"/>
          </w:tblCellMar>
        </w:tblPrEx>
        <w:trPr>
          <w:cantSplit/>
          <w:trHeight w:val="207"/>
        </w:trPr>
        <w:tc>
          <w:tcPr>
            <w:tcW w:w="567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c>
          <w:tcPr>
            <w:tcW w:w="850" w:type="dxa"/>
            <w:vMerge/>
          </w:tcPr>
          <w:p w:rsidR="002D3DB1" w:rsidRDefault="002D3DB1">
            <w:pPr>
              <w:pStyle w:val="Style15"/>
              <w:rPr>
                <w:rFonts w:ascii="Myriad Pro-Bold" w:hAnsi="Myriad Pro-Bold" w:cs="Myriad Pro-Bold"/>
              </w:rPr>
            </w:pPr>
          </w:p>
        </w:tc>
        <w:tc>
          <w:tcPr>
            <w:tcW w:w="851" w:type="dxa"/>
            <w:vMerge/>
          </w:tcPr>
          <w:p w:rsidR="002D3DB1" w:rsidRDefault="002D3DB1">
            <w:pPr>
              <w:pStyle w:val="Style15"/>
              <w:rPr>
                <w:rFonts w:ascii="Myriad Pro-Bold" w:hAnsi="Myriad Pro-Bold" w:cs="Myriad Pro-Bold"/>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Die jährliche Anzahl der Vorstandssitzungen ist  in Ordnung.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Pr>
        <w:tc>
          <w:tcPr>
            <w:tcW w:w="5670" w:type="dxa"/>
          </w:tcPr>
          <w:p w:rsidR="00430EE3" w:rsidRDefault="002D3DB1" w:rsidP="00965CB0">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Die Dauer der Vor</w:t>
            </w:r>
            <w:r w:rsidR="00965CB0">
              <w:rPr>
                <w:rFonts w:ascii="Myriad Pro-Regular" w:hAnsi="Myriad Pro-Regular" w:cs="Myriad Pro-Regular"/>
                <w:sz w:val="22"/>
                <w:szCs w:val="22"/>
              </w:rPr>
              <w:t>standssitzungen ist angemessen.</w:t>
            </w:r>
          </w:p>
          <w:p w:rsidR="00965CB0" w:rsidRPr="00965CB0" w:rsidRDefault="00965CB0" w:rsidP="00965CB0"/>
        </w:tc>
        <w:tc>
          <w:tcPr>
            <w:tcW w:w="851" w:type="dxa"/>
          </w:tcPr>
          <w:p w:rsidR="002D3DB1" w:rsidRDefault="002D3DB1">
            <w:pPr>
              <w:pStyle w:val="Style16"/>
              <w:rPr>
                <w:rFonts w:ascii="Myriad Pro-Regular" w:hAnsi="Myriad Pro-Regular" w:cs="Myriad Pro-Regular"/>
              </w:rPr>
            </w:pPr>
          </w:p>
        </w:tc>
        <w:tc>
          <w:tcPr>
            <w:tcW w:w="850" w:type="dxa"/>
          </w:tcPr>
          <w:p w:rsidR="002D3DB1" w:rsidRDefault="002D3DB1">
            <w:pPr>
              <w:pStyle w:val="Style16"/>
              <w:rPr>
                <w:rFonts w:ascii="Myriad Pro-Regular" w:hAnsi="Myriad Pro-Regular" w:cs="Myriad Pro-Regular"/>
              </w:rPr>
            </w:pPr>
          </w:p>
        </w:tc>
        <w:tc>
          <w:tcPr>
            <w:tcW w:w="851" w:type="dxa"/>
          </w:tcPr>
          <w:p w:rsidR="002D3DB1" w:rsidRDefault="002D3DB1">
            <w:pPr>
              <w:pStyle w:val="Style16"/>
              <w:rPr>
                <w:rFonts w:ascii="Myriad Pro-Regular" w:hAnsi="Myriad Pro-Regular" w:cs="Myriad Pro-Regular"/>
              </w:rPr>
            </w:pPr>
          </w:p>
        </w:tc>
        <w:tc>
          <w:tcPr>
            <w:tcW w:w="850" w:type="dxa"/>
          </w:tcPr>
          <w:p w:rsidR="002D3DB1" w:rsidRDefault="002D3DB1">
            <w:pPr>
              <w:pStyle w:val="Style16"/>
              <w:rPr>
                <w:rFonts w:ascii="Myriad Pro-Regular" w:hAnsi="Myriad Pro-Regular" w:cs="Myriad Pro-Regular"/>
              </w:rPr>
            </w:pPr>
          </w:p>
        </w:tc>
        <w:tc>
          <w:tcPr>
            <w:tcW w:w="851" w:type="dxa"/>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Die Einladungen und Unterlagen zur Vorstandssitzung liegen rechtzeitig vor.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Pr>
        <w:tc>
          <w:tcPr>
            <w:tcW w:w="5670" w:type="dxa"/>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Die Größe des Vorstands ist sinnvoll. </w:t>
            </w:r>
          </w:p>
          <w:p w:rsidR="00430EE3" w:rsidRPr="00965CB0" w:rsidRDefault="00430EE3" w:rsidP="00430EE3">
            <w:pPr>
              <w:rPr>
                <w:sz w:val="22"/>
                <w:szCs w:val="22"/>
              </w:rPr>
            </w:pPr>
          </w:p>
        </w:tc>
        <w:tc>
          <w:tcPr>
            <w:tcW w:w="851" w:type="dxa"/>
          </w:tcPr>
          <w:p w:rsidR="002D3DB1" w:rsidRDefault="002D3DB1">
            <w:pPr>
              <w:pStyle w:val="Style16"/>
              <w:rPr>
                <w:rFonts w:ascii="Myriad Pro-Regular" w:hAnsi="Myriad Pro-Regular" w:cs="Myriad Pro-Regular"/>
              </w:rPr>
            </w:pPr>
          </w:p>
        </w:tc>
        <w:tc>
          <w:tcPr>
            <w:tcW w:w="850" w:type="dxa"/>
          </w:tcPr>
          <w:p w:rsidR="002D3DB1" w:rsidRDefault="002D3DB1">
            <w:pPr>
              <w:pStyle w:val="Style16"/>
              <w:rPr>
                <w:rFonts w:ascii="Myriad Pro-Regular" w:hAnsi="Myriad Pro-Regular" w:cs="Myriad Pro-Regular"/>
              </w:rPr>
            </w:pPr>
          </w:p>
        </w:tc>
        <w:tc>
          <w:tcPr>
            <w:tcW w:w="851" w:type="dxa"/>
          </w:tcPr>
          <w:p w:rsidR="002D3DB1" w:rsidRDefault="002D3DB1">
            <w:pPr>
              <w:pStyle w:val="Style16"/>
              <w:rPr>
                <w:rFonts w:ascii="Myriad Pro-Regular" w:hAnsi="Myriad Pro-Regular" w:cs="Myriad Pro-Regular"/>
              </w:rPr>
            </w:pPr>
          </w:p>
        </w:tc>
        <w:tc>
          <w:tcPr>
            <w:tcW w:w="850" w:type="dxa"/>
          </w:tcPr>
          <w:p w:rsidR="002D3DB1" w:rsidRDefault="002D3DB1">
            <w:pPr>
              <w:pStyle w:val="Style16"/>
              <w:rPr>
                <w:rFonts w:ascii="Myriad Pro-Regular" w:hAnsi="Myriad Pro-Regular" w:cs="Myriad Pro-Regular"/>
              </w:rPr>
            </w:pPr>
          </w:p>
        </w:tc>
        <w:tc>
          <w:tcPr>
            <w:tcW w:w="851" w:type="dxa"/>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Jedes Mitglied des Vorstands verfügt über eine  Aufgabenbeschreibung.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Die Aufgaben, Funktionen und Verantwortlichkeiten im Vorstand sind gut verteilt und klar kommuniziert.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Alle Vorstandsmitglieder sind mit den wichtigsten  Vereinsdokumenten und Beschlüssen vertraut.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Alle Vorstandsmitglieder verfügen über die gleichen Informationen zu wichtigen Vorgängen im Verein.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Alle Vorstandsmitglieder haben immer die Gesamtinteressen des Vereins im Blick.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Meinungsunterschiede und Konflikte im Vorstand  werden offen angesprochen.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Die Ansprache und Gewinnung neuer Vorstände wird bei uns systematisch und rechtzeitig betrieben.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Neue Vorstandsmitglieder werden in ihre Arbeit  eingeführt.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Neue Vorstände erhalten im ersten Jahr ihrer Tätigkeit eine*n Mentor*in/Ansprechpartner*in für offene Fragen.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Wir beobachten systematisch und regelmäßig Trends im Vereinsumfeld.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tcPr>
          <w:p w:rsidR="002D3DB1" w:rsidRPr="00965CB0" w:rsidRDefault="002D3DB1" w:rsidP="00580304">
            <w:pPr>
              <w:pStyle w:val="Style16"/>
              <w:ind w:left="284" w:hanging="284"/>
              <w:rPr>
                <w:rFonts w:ascii="Myriad Pro-Regular" w:hAnsi="Myriad Pro-Regular" w:cs="Myriad Pro-Regular"/>
                <w:sz w:val="22"/>
                <w:szCs w:val="22"/>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53"/>
        </w:trPr>
        <w:tc>
          <w:tcPr>
            <w:tcW w:w="5670" w:type="dxa"/>
            <w:vMerge w:val="restart"/>
          </w:tcPr>
          <w:p w:rsidR="002D3DB1" w:rsidRPr="00965CB0" w:rsidRDefault="002D3DB1" w:rsidP="00580304">
            <w:pPr>
              <w:pStyle w:val="Style16"/>
              <w:ind w:left="284" w:hanging="284"/>
              <w:rPr>
                <w:rFonts w:ascii="Myriad Pro-Regular" w:hAnsi="Myriad Pro-Regular" w:cs="Myriad Pro-Regular"/>
                <w:sz w:val="22"/>
                <w:szCs w:val="22"/>
              </w:rPr>
            </w:pPr>
            <w:r w:rsidRPr="00965CB0">
              <w:rPr>
                <w:rFonts w:ascii="Zapf Dingbats" w:hAnsi="Zapf Dingbats" w:cs="Zapf Dingbats"/>
                <w:color w:val="005DA9"/>
                <w:sz w:val="22"/>
                <w:szCs w:val="22"/>
              </w:rPr>
              <w:t xml:space="preserve">■  </w:t>
            </w:r>
            <w:r w:rsidRPr="00965CB0">
              <w:rPr>
                <w:rFonts w:ascii="Myriad Pro-Regular" w:hAnsi="Myriad Pro-Regular" w:cs="Myriad Pro-Regular"/>
                <w:sz w:val="22"/>
                <w:szCs w:val="22"/>
              </w:rPr>
              <w:t xml:space="preserve">Wir setzen klare Ziele und Prioritäten in Bezug auf die Entwicklung des Vereins. </w:t>
            </w: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c>
          <w:tcPr>
            <w:tcW w:w="850" w:type="dxa"/>
            <w:vMerge w:val="restart"/>
          </w:tcPr>
          <w:p w:rsidR="002D3DB1" w:rsidRDefault="002D3DB1">
            <w:pPr>
              <w:pStyle w:val="Style16"/>
              <w:rPr>
                <w:rFonts w:ascii="Myriad Pro-Regular" w:hAnsi="Myriad Pro-Regular" w:cs="Myriad Pro-Regular"/>
              </w:rPr>
            </w:pPr>
          </w:p>
        </w:tc>
        <w:tc>
          <w:tcPr>
            <w:tcW w:w="851" w:type="dxa"/>
            <w:vMerge w:val="restart"/>
          </w:tcPr>
          <w:p w:rsidR="002D3DB1" w:rsidRDefault="002D3DB1">
            <w:pPr>
              <w:pStyle w:val="Style16"/>
              <w:rPr>
                <w:rFonts w:ascii="Myriad Pro-Regular" w:hAnsi="Myriad Pro-Regular" w:cs="Myriad Pro-Regular"/>
              </w:rPr>
            </w:pPr>
          </w:p>
        </w:tc>
      </w:tr>
      <w:tr w:rsidR="002D3DB1" w:rsidTr="00965CB0">
        <w:tblPrEx>
          <w:tblCellMar>
            <w:top w:w="0" w:type="dxa"/>
            <w:left w:w="0" w:type="dxa"/>
            <w:bottom w:w="0" w:type="dxa"/>
            <w:right w:w="0" w:type="dxa"/>
          </w:tblCellMar>
        </w:tblPrEx>
        <w:trPr>
          <w:cantSplit/>
          <w:trHeight w:val="207"/>
        </w:trPr>
        <w:tc>
          <w:tcPr>
            <w:tcW w:w="567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c>
          <w:tcPr>
            <w:tcW w:w="850" w:type="dxa"/>
            <w:vMerge/>
          </w:tcPr>
          <w:p w:rsidR="002D3DB1" w:rsidRDefault="002D3DB1">
            <w:pPr>
              <w:pStyle w:val="Style16"/>
              <w:rPr>
                <w:rFonts w:ascii="Myriad Pro-Regular" w:hAnsi="Myriad Pro-Regular" w:cs="Myriad Pro-Regular"/>
              </w:rPr>
            </w:pPr>
          </w:p>
        </w:tc>
        <w:tc>
          <w:tcPr>
            <w:tcW w:w="851" w:type="dxa"/>
            <w:vMerge/>
          </w:tcPr>
          <w:p w:rsidR="002D3DB1" w:rsidRDefault="002D3DB1">
            <w:pPr>
              <w:pStyle w:val="Style16"/>
              <w:rPr>
                <w:rFonts w:ascii="Myriad Pro-Regular" w:hAnsi="Myriad Pro-Regular" w:cs="Myriad Pro-Regular"/>
              </w:rPr>
            </w:pPr>
          </w:p>
        </w:tc>
      </w:tr>
    </w:tbl>
    <w:p w:rsidR="002D3DB1" w:rsidRDefault="002D3DB1" w:rsidP="0097176C">
      <w:pPr>
        <w:pStyle w:val="Style19"/>
        <w:spacing w:before="120" w:after="120"/>
        <w:rPr>
          <w:rFonts w:ascii="Myriad Pro-Regular" w:hAnsi="Myriad Pro-Regular" w:cs="Myriad Pro-Regular"/>
        </w:rPr>
      </w:pPr>
      <w:r>
        <w:rPr>
          <w:rFonts w:ascii="Myriad Pro-It" w:hAnsi="Myriad Pro-It" w:cs="Myriad Pro-It"/>
          <w:i/>
          <w:iCs/>
          <w:color w:val="005DA9"/>
        </w:rPr>
        <w:t>Der Fragebogen kann jederzeit um weitere Fragen ergänzt werden.</w:t>
      </w:r>
    </w:p>
    <w:p w:rsidR="008004CE" w:rsidRPr="008004CE" w:rsidRDefault="008004CE" w:rsidP="0097176C">
      <w:pPr>
        <w:spacing w:after="120"/>
      </w:pPr>
      <w:r>
        <w:t>Aus: Der PARITÄTISCHE BW: Übergabe – Wie der Vorstandswechsel im Verein gelingt – eine Arbeitshilfe. Stuttgart 2020</w:t>
      </w:r>
      <w:r w:rsidR="005C4207">
        <w:t xml:space="preserve">, S. 10 </w:t>
      </w:r>
      <w:r>
        <w:t>Abschn</w:t>
      </w:r>
      <w:r w:rsidR="005C4207">
        <w:t>.</w:t>
      </w:r>
      <w:r>
        <w:t xml:space="preserve">: </w:t>
      </w:r>
      <w:bookmarkStart w:id="1" w:name="t62"/>
      <w:r w:rsidRPr="008004CE">
        <w:rPr>
          <w:rFonts w:ascii="Myriad Pro-Semibold" w:hAnsi="Myriad Pro-Semibold" w:cs="Myriad Pro-Semibold"/>
          <w:bCs/>
        </w:rPr>
        <w:t>W</w:t>
      </w:r>
      <w:bookmarkEnd w:id="1"/>
      <w:r w:rsidRPr="008004CE">
        <w:rPr>
          <w:rFonts w:ascii="Myriad Pro-Semibold" w:hAnsi="Myriad Pro-Semibold" w:cs="Myriad Pro-Semibold"/>
          <w:bCs/>
        </w:rPr>
        <w:t>as gute Vorstandsarbeit ausmacht</w:t>
      </w:r>
      <w:r w:rsidR="005C4207">
        <w:rPr>
          <w:rFonts w:ascii="Myriad Pro-Semibold" w:hAnsi="Myriad Pro-Semibold" w:cs="Myriad Pro-Semibold"/>
          <w:bCs/>
        </w:rPr>
        <w:t>.</w:t>
      </w:r>
    </w:p>
    <w:p w:rsidR="008004CE" w:rsidRDefault="008004CE" w:rsidP="008004CE"/>
    <w:p w:rsidR="008004CE" w:rsidRPr="008004CE" w:rsidRDefault="005C4207" w:rsidP="008004CE">
      <w:r w:rsidRPr="005C4207">
        <w:rPr>
          <w:u w:val="single"/>
        </w:rPr>
        <w:t>Erläuterung</w:t>
      </w:r>
      <w:r>
        <w:t xml:space="preserve">: </w:t>
      </w:r>
      <w:r w:rsidR="008004CE">
        <w:rPr>
          <w:rFonts w:ascii="Myriad Pro-Regular" w:hAnsi="Myriad Pro-Regular" w:cs="Myriad Pro-Regular"/>
        </w:rPr>
        <w:t>Gute Vorstandsarbeit besteht auch darin, das eigene Tun in regelmäßigen Abständen zu überprüfen. Eine Umfrage kann Aufschluss darüber geben, wie die Mitglieder des Vorstands die G</w:t>
      </w:r>
      <w:r w:rsidR="0097176C">
        <w:rPr>
          <w:rFonts w:ascii="Myriad Pro-Regular" w:hAnsi="Myriad Pro-Regular" w:cs="Myriad Pro-Regular"/>
        </w:rPr>
        <w:t xml:space="preserve">emeinschaftsaufgabe wahrnehmen. </w:t>
      </w:r>
      <w:r w:rsidR="008004CE">
        <w:rPr>
          <w:rFonts w:ascii="Myriad Pro-Regular" w:hAnsi="Myriad Pro-Regular" w:cs="Myriad Pro-Regular"/>
        </w:rPr>
        <w:t>Die Ergebnisse können dann die Grundlage für notwendige Veränderungsprozesse in der Organisation des Vereins sein. Der Fragebogen kann jederzeit um weitere Fragen ergänzt werden. Jedes Vorstandsmitglied füllt den Fragebogen für sich aus. Die Auswertung erfolgt am besten mit einer externen Moderation.</w:t>
      </w:r>
    </w:p>
    <w:sectPr w:rsidR="008004CE" w:rsidRPr="008004CE">
      <w:headerReference w:type="default" r:id="rId7"/>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B1" w:rsidRDefault="002D3DB1" w:rsidP="00674FB4">
      <w:r>
        <w:separator/>
      </w:r>
    </w:p>
  </w:endnote>
  <w:endnote w:type="continuationSeparator" w:id="0">
    <w:p w:rsidR="002D3DB1" w:rsidRDefault="002D3DB1" w:rsidP="0067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ntilly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antilly Bold">
    <w:panose1 w:val="00000000000000000000"/>
    <w:charset w:val="00"/>
    <w:family w:val="swiss"/>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Myriad Pro-Semibold">
    <w:panose1 w:val="00000000000000000000"/>
    <w:charset w:val="00"/>
    <w:family w:val="swiss"/>
    <w:notTrueType/>
    <w:pitch w:val="default"/>
    <w:sig w:usb0="00000003" w:usb1="00000000" w:usb2="00000000" w:usb3="00000000" w:csb0="00000001" w:csb1="00000000"/>
  </w:font>
  <w:font w:name="Myriad Pro-Bold">
    <w:panose1 w:val="00000000000000000000"/>
    <w:charset w:val="00"/>
    <w:family w:val="swiss"/>
    <w:notTrueType/>
    <w:pitch w:val="default"/>
    <w:sig w:usb0="00000003" w:usb1="00000000" w:usb2="00000000" w:usb3="00000000" w:csb0="00000001" w:csb1="00000000"/>
  </w:font>
  <w:font w:name="Myriad Pro-Regular">
    <w:panose1 w:val="00000000000000000000"/>
    <w:charset w:val="00"/>
    <w:family w:val="swiss"/>
    <w:notTrueType/>
    <w:pitch w:val="default"/>
    <w:sig w:usb0="00000003" w:usb1="00000000" w:usb2="00000000" w:usb3="00000000" w:csb0="00000001" w:csb1="00000000"/>
  </w:font>
  <w:font w:name="Zapf Dingbats">
    <w:panose1 w:val="00000000000000000000"/>
    <w:charset w:val="00"/>
    <w:family w:val="swiss"/>
    <w:notTrueType/>
    <w:pitch w:val="default"/>
    <w:sig w:usb0="00000003" w:usb1="00000000" w:usb2="00000000" w:usb3="00000000" w:csb0="00000001" w:csb1="00000000"/>
  </w:font>
  <w:font w:name="Myriad Pro-I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B1" w:rsidRDefault="002D3DB1" w:rsidP="00674FB4">
      <w:r>
        <w:separator/>
      </w:r>
    </w:p>
  </w:footnote>
  <w:footnote w:type="continuationSeparator" w:id="0">
    <w:p w:rsidR="002D3DB1" w:rsidRDefault="002D3DB1" w:rsidP="0067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B4" w:rsidRDefault="00674FB4">
    <w:pPr>
      <w:pStyle w:val="Kopfzeile"/>
    </w:pPr>
    <w:r>
      <w:t>Arbeitshilfe: Übergabe – Wie der Vorstandswechsel im Verein gelingt.</w:t>
    </w:r>
  </w:p>
  <w:p w:rsidR="00674FB4" w:rsidRDefault="00674F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04"/>
    <w:rsid w:val="002D3DB1"/>
    <w:rsid w:val="002E2941"/>
    <w:rsid w:val="00430EE3"/>
    <w:rsid w:val="00580304"/>
    <w:rsid w:val="005C4207"/>
    <w:rsid w:val="00674FB4"/>
    <w:rsid w:val="008004CE"/>
    <w:rsid w:val="00965CB0"/>
    <w:rsid w:val="009717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Chantilly Regular" w:hAnsi="Chantilly Regular" w:cs="Chantilly Regular"/>
      <w:sz w:val="20"/>
      <w:szCs w:val="20"/>
    </w:rPr>
  </w:style>
  <w:style w:type="paragraph" w:styleId="berschrift1">
    <w:name w:val="heading 1"/>
    <w:basedOn w:val="Standard"/>
    <w:next w:val="Standard"/>
    <w:link w:val="berschrift1Zchn"/>
    <w:uiPriority w:val="99"/>
    <w:qFormat/>
    <w:pPr>
      <w:outlineLvl w:val="0"/>
    </w:pPr>
    <w:rPr>
      <w:rFonts w:cs="Times New Roman"/>
      <w:sz w:val="24"/>
      <w:szCs w:val="24"/>
    </w:rPr>
  </w:style>
  <w:style w:type="paragraph" w:styleId="berschrift2">
    <w:name w:val="heading 2"/>
    <w:basedOn w:val="Standard"/>
    <w:next w:val="Standard"/>
    <w:link w:val="berschrift2Zchn"/>
    <w:uiPriority w:val="99"/>
    <w:qFormat/>
    <w:pPr>
      <w:outlineLvl w:val="1"/>
    </w:pPr>
    <w:rPr>
      <w:rFonts w:cs="Times New Roman"/>
      <w:sz w:val="24"/>
      <w:szCs w:val="24"/>
    </w:rPr>
  </w:style>
  <w:style w:type="paragraph" w:styleId="berschrift3">
    <w:name w:val="heading 3"/>
    <w:basedOn w:val="Standard"/>
    <w:next w:val="Standard"/>
    <w:link w:val="berschrift3Zchn"/>
    <w:uiPriority w:val="99"/>
    <w:qFormat/>
    <w:pPr>
      <w:outlineLvl w:val="2"/>
    </w:pPr>
    <w:rPr>
      <w:rFonts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customStyle="1" w:styleId="Style0">
    <w:name w:val="Style0"/>
    <w:basedOn w:val="Standard"/>
    <w:next w:val="Standard"/>
    <w:uiPriority w:val="99"/>
    <w:rPr>
      <w:sz w:val="16"/>
      <w:szCs w:val="16"/>
    </w:rPr>
  </w:style>
  <w:style w:type="paragraph" w:customStyle="1" w:styleId="Style1">
    <w:name w:val="Style1"/>
    <w:basedOn w:val="Standard"/>
    <w:next w:val="Standard"/>
    <w:uiPriority w:val="99"/>
    <w:rPr>
      <w:rFonts w:ascii="Chantilly Bold" w:hAnsi="Chantilly Bold" w:cs="Chantilly Bold"/>
      <w:sz w:val="16"/>
      <w:szCs w:val="16"/>
    </w:rPr>
  </w:style>
  <w:style w:type="paragraph" w:customStyle="1" w:styleId="Style2">
    <w:name w:val="Style2"/>
    <w:basedOn w:val="Standard"/>
    <w:next w:val="Standard"/>
    <w:uiPriority w:val="99"/>
    <w:rPr>
      <w:rFonts w:ascii="Myriad-Roman" w:hAnsi="Myriad-Roman" w:cs="Myriad-Roman"/>
      <w:sz w:val="16"/>
      <w:szCs w:val="16"/>
    </w:rPr>
  </w:style>
  <w:style w:type="paragraph" w:customStyle="1" w:styleId="Style3">
    <w:name w:val="Style3"/>
    <w:basedOn w:val="Standard"/>
    <w:next w:val="Standard"/>
    <w:uiPriority w:val="99"/>
    <w:rPr>
      <w:rFonts w:ascii="Myriad Pro-Semibold" w:hAnsi="Myriad Pro-Semibold" w:cs="Myriad Pro-Semibold"/>
      <w:sz w:val="98"/>
      <w:szCs w:val="98"/>
    </w:rPr>
  </w:style>
  <w:style w:type="paragraph" w:customStyle="1" w:styleId="Style4">
    <w:name w:val="Style4"/>
    <w:basedOn w:val="Standard"/>
    <w:next w:val="Standard"/>
    <w:uiPriority w:val="99"/>
    <w:rPr>
      <w:rFonts w:ascii="Myriad Pro-Bold" w:hAnsi="Myriad Pro-Bold" w:cs="Myriad Pro-Bold"/>
      <w:sz w:val="44"/>
      <w:szCs w:val="44"/>
    </w:rPr>
  </w:style>
  <w:style w:type="paragraph" w:customStyle="1" w:styleId="Style5">
    <w:name w:val="Style5"/>
    <w:basedOn w:val="Standard"/>
    <w:next w:val="Standard"/>
    <w:uiPriority w:val="99"/>
    <w:rPr>
      <w:rFonts w:ascii="Myriad Pro-Regular" w:hAnsi="Myriad Pro-Regular" w:cs="Myriad Pro-Regular"/>
      <w:sz w:val="66"/>
      <w:szCs w:val="66"/>
    </w:rPr>
  </w:style>
  <w:style w:type="paragraph" w:customStyle="1" w:styleId="Style6">
    <w:name w:val="Style6"/>
    <w:basedOn w:val="Standard"/>
    <w:next w:val="Standard"/>
    <w:uiPriority w:val="99"/>
    <w:rPr>
      <w:rFonts w:ascii="Zapf Dingbats" w:hAnsi="Zapf Dingbats" w:cs="Zapf Dingbats"/>
      <w:sz w:val="36"/>
      <w:szCs w:val="36"/>
    </w:rPr>
  </w:style>
  <w:style w:type="paragraph" w:customStyle="1" w:styleId="Style7">
    <w:name w:val="Style7"/>
    <w:basedOn w:val="Standard"/>
    <w:next w:val="Standard"/>
    <w:uiPriority w:val="99"/>
    <w:rPr>
      <w:rFonts w:ascii="Myriad Pro-It" w:hAnsi="Myriad Pro-It" w:cs="Myriad Pro-It"/>
    </w:rPr>
  </w:style>
  <w:style w:type="paragraph" w:customStyle="1" w:styleId="Style8">
    <w:name w:val="Style8"/>
    <w:basedOn w:val="Standard"/>
    <w:next w:val="Standard"/>
    <w:uiPriority w:val="99"/>
  </w:style>
  <w:style w:type="paragraph" w:customStyle="1" w:styleId="Style9">
    <w:name w:val="Style9"/>
    <w:basedOn w:val="Standard"/>
    <w:next w:val="Standard"/>
    <w:uiPriority w:val="99"/>
    <w:rPr>
      <w:sz w:val="30"/>
      <w:szCs w:val="30"/>
    </w:rPr>
  </w:style>
  <w:style w:type="paragraph" w:customStyle="1" w:styleId="Style10">
    <w:name w:val="Style10"/>
    <w:basedOn w:val="Standard"/>
    <w:next w:val="Standard"/>
    <w:uiPriority w:val="99"/>
    <w:rPr>
      <w:sz w:val="22"/>
      <w:szCs w:val="22"/>
    </w:rPr>
  </w:style>
  <w:style w:type="paragraph" w:customStyle="1" w:styleId="Style11">
    <w:name w:val="Style11"/>
    <w:basedOn w:val="Standard"/>
    <w:next w:val="Standard"/>
    <w:uiPriority w:val="99"/>
    <w:rPr>
      <w:sz w:val="12"/>
      <w:szCs w:val="12"/>
    </w:rPr>
  </w:style>
  <w:style w:type="paragraph" w:customStyle="1" w:styleId="Style12">
    <w:name w:val="Style12"/>
    <w:basedOn w:val="Standard"/>
    <w:next w:val="Standard"/>
    <w:uiPriority w:val="99"/>
    <w:rPr>
      <w:sz w:val="32"/>
      <w:szCs w:val="32"/>
    </w:rPr>
  </w:style>
  <w:style w:type="paragraph" w:customStyle="1" w:styleId="Style13">
    <w:name w:val="Style13"/>
    <w:basedOn w:val="Standard"/>
    <w:next w:val="Standard"/>
    <w:uiPriority w:val="99"/>
    <w:rPr>
      <w:sz w:val="24"/>
      <w:szCs w:val="24"/>
    </w:rPr>
  </w:style>
  <w:style w:type="paragraph" w:customStyle="1" w:styleId="Style14">
    <w:name w:val="Style14"/>
    <w:basedOn w:val="Standard"/>
    <w:next w:val="Standard"/>
    <w:uiPriority w:val="99"/>
    <w:rPr>
      <w:sz w:val="18"/>
      <w:szCs w:val="18"/>
    </w:rPr>
  </w:style>
  <w:style w:type="paragraph" w:customStyle="1" w:styleId="Style15">
    <w:name w:val="Style15"/>
    <w:basedOn w:val="Standard"/>
    <w:next w:val="Standard"/>
    <w:uiPriority w:val="99"/>
    <w:rPr>
      <w:sz w:val="18"/>
      <w:szCs w:val="18"/>
    </w:rPr>
  </w:style>
  <w:style w:type="paragraph" w:customStyle="1" w:styleId="Style16">
    <w:name w:val="Style16"/>
    <w:basedOn w:val="Standard"/>
    <w:next w:val="Standard"/>
    <w:uiPriority w:val="99"/>
    <w:rPr>
      <w:sz w:val="18"/>
      <w:szCs w:val="18"/>
    </w:rPr>
  </w:style>
  <w:style w:type="paragraph" w:customStyle="1" w:styleId="Style17">
    <w:name w:val="Style17"/>
    <w:basedOn w:val="Standard"/>
    <w:next w:val="Standard"/>
    <w:uiPriority w:val="99"/>
    <w:rPr>
      <w:sz w:val="26"/>
      <w:szCs w:val="26"/>
    </w:rPr>
  </w:style>
  <w:style w:type="paragraph" w:customStyle="1" w:styleId="Style18">
    <w:name w:val="Style18"/>
    <w:basedOn w:val="Standard"/>
    <w:next w:val="Standard"/>
    <w:uiPriority w:val="99"/>
  </w:style>
  <w:style w:type="paragraph" w:customStyle="1" w:styleId="Style19">
    <w:name w:val="Style19"/>
    <w:basedOn w:val="Standard"/>
    <w:next w:val="Standard"/>
    <w:uiPriority w:val="99"/>
    <w:rPr>
      <w:sz w:val="18"/>
      <w:szCs w:val="18"/>
    </w:rPr>
  </w:style>
  <w:style w:type="paragraph" w:customStyle="1" w:styleId="Style20">
    <w:name w:val="Style20"/>
    <w:basedOn w:val="Standard"/>
    <w:next w:val="Standard"/>
    <w:uiPriority w:val="99"/>
    <w:rPr>
      <w:sz w:val="18"/>
      <w:szCs w:val="18"/>
    </w:rPr>
  </w:style>
  <w:style w:type="paragraph" w:customStyle="1" w:styleId="Style21">
    <w:name w:val="Style21"/>
    <w:basedOn w:val="Standard"/>
    <w:next w:val="Standard"/>
    <w:uiPriority w:val="99"/>
    <w:rPr>
      <w:sz w:val="14"/>
      <w:szCs w:val="14"/>
    </w:rPr>
  </w:style>
  <w:style w:type="paragraph" w:customStyle="1" w:styleId="Style22">
    <w:name w:val="Style22"/>
    <w:basedOn w:val="Standard"/>
    <w:next w:val="Standard"/>
    <w:uiPriority w:val="99"/>
    <w:rPr>
      <w:sz w:val="14"/>
      <w:szCs w:val="14"/>
    </w:rPr>
  </w:style>
  <w:style w:type="paragraph" w:customStyle="1" w:styleId="Style23">
    <w:name w:val="Style23"/>
    <w:basedOn w:val="Standard"/>
    <w:next w:val="Standard"/>
    <w:uiPriority w:val="99"/>
    <w:rPr>
      <w:sz w:val="14"/>
      <w:szCs w:val="14"/>
    </w:rPr>
  </w:style>
  <w:style w:type="paragraph" w:styleId="Kopfzeile">
    <w:name w:val="header"/>
    <w:basedOn w:val="Standard"/>
    <w:link w:val="KopfzeileZchn"/>
    <w:uiPriority w:val="99"/>
    <w:unhideWhenUsed/>
    <w:rsid w:val="00674FB4"/>
    <w:pPr>
      <w:tabs>
        <w:tab w:val="center" w:pos="4536"/>
        <w:tab w:val="right" w:pos="9072"/>
      </w:tabs>
    </w:pPr>
  </w:style>
  <w:style w:type="character" w:customStyle="1" w:styleId="KopfzeileZchn">
    <w:name w:val="Kopfzeile Zchn"/>
    <w:basedOn w:val="Absatz-Standardschriftart"/>
    <w:link w:val="Kopfzeile"/>
    <w:uiPriority w:val="99"/>
    <w:locked/>
    <w:rsid w:val="00674FB4"/>
    <w:rPr>
      <w:rFonts w:ascii="Chantilly Regular" w:hAnsi="Chantilly Regular" w:cs="Chantilly Regular"/>
      <w:sz w:val="20"/>
      <w:szCs w:val="20"/>
    </w:rPr>
  </w:style>
  <w:style w:type="paragraph" w:styleId="Fuzeile">
    <w:name w:val="footer"/>
    <w:basedOn w:val="Standard"/>
    <w:link w:val="FuzeileZchn"/>
    <w:uiPriority w:val="99"/>
    <w:unhideWhenUsed/>
    <w:rsid w:val="00674FB4"/>
    <w:pPr>
      <w:tabs>
        <w:tab w:val="center" w:pos="4536"/>
        <w:tab w:val="right" w:pos="9072"/>
      </w:tabs>
    </w:pPr>
  </w:style>
  <w:style w:type="character" w:customStyle="1" w:styleId="FuzeileZchn">
    <w:name w:val="Fußzeile Zchn"/>
    <w:basedOn w:val="Absatz-Standardschriftart"/>
    <w:link w:val="Fuzeile"/>
    <w:uiPriority w:val="99"/>
    <w:locked/>
    <w:rsid w:val="00674FB4"/>
    <w:rPr>
      <w:rFonts w:ascii="Chantilly Regular" w:hAnsi="Chantilly Regular" w:cs="Chantilly Regular"/>
      <w:sz w:val="20"/>
      <w:szCs w:val="20"/>
    </w:rPr>
  </w:style>
  <w:style w:type="paragraph" w:styleId="Sprechblasentext">
    <w:name w:val="Balloon Text"/>
    <w:basedOn w:val="Standard"/>
    <w:link w:val="SprechblasentextZchn"/>
    <w:uiPriority w:val="99"/>
    <w:semiHidden/>
    <w:unhideWhenUsed/>
    <w:rsid w:val="00674F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74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Chantilly Regular" w:hAnsi="Chantilly Regular" w:cs="Chantilly Regular"/>
      <w:sz w:val="20"/>
      <w:szCs w:val="20"/>
    </w:rPr>
  </w:style>
  <w:style w:type="paragraph" w:styleId="berschrift1">
    <w:name w:val="heading 1"/>
    <w:basedOn w:val="Standard"/>
    <w:next w:val="Standard"/>
    <w:link w:val="berschrift1Zchn"/>
    <w:uiPriority w:val="99"/>
    <w:qFormat/>
    <w:pPr>
      <w:outlineLvl w:val="0"/>
    </w:pPr>
    <w:rPr>
      <w:rFonts w:cs="Times New Roman"/>
      <w:sz w:val="24"/>
      <w:szCs w:val="24"/>
    </w:rPr>
  </w:style>
  <w:style w:type="paragraph" w:styleId="berschrift2">
    <w:name w:val="heading 2"/>
    <w:basedOn w:val="Standard"/>
    <w:next w:val="Standard"/>
    <w:link w:val="berschrift2Zchn"/>
    <w:uiPriority w:val="99"/>
    <w:qFormat/>
    <w:pPr>
      <w:outlineLvl w:val="1"/>
    </w:pPr>
    <w:rPr>
      <w:rFonts w:cs="Times New Roman"/>
      <w:sz w:val="24"/>
      <w:szCs w:val="24"/>
    </w:rPr>
  </w:style>
  <w:style w:type="paragraph" w:styleId="berschrift3">
    <w:name w:val="heading 3"/>
    <w:basedOn w:val="Standard"/>
    <w:next w:val="Standard"/>
    <w:link w:val="berschrift3Zchn"/>
    <w:uiPriority w:val="99"/>
    <w:qFormat/>
    <w:pPr>
      <w:outlineLvl w:val="2"/>
    </w:pPr>
    <w:rPr>
      <w:rFonts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customStyle="1" w:styleId="Style0">
    <w:name w:val="Style0"/>
    <w:basedOn w:val="Standard"/>
    <w:next w:val="Standard"/>
    <w:uiPriority w:val="99"/>
    <w:rPr>
      <w:sz w:val="16"/>
      <w:szCs w:val="16"/>
    </w:rPr>
  </w:style>
  <w:style w:type="paragraph" w:customStyle="1" w:styleId="Style1">
    <w:name w:val="Style1"/>
    <w:basedOn w:val="Standard"/>
    <w:next w:val="Standard"/>
    <w:uiPriority w:val="99"/>
    <w:rPr>
      <w:rFonts w:ascii="Chantilly Bold" w:hAnsi="Chantilly Bold" w:cs="Chantilly Bold"/>
      <w:sz w:val="16"/>
      <w:szCs w:val="16"/>
    </w:rPr>
  </w:style>
  <w:style w:type="paragraph" w:customStyle="1" w:styleId="Style2">
    <w:name w:val="Style2"/>
    <w:basedOn w:val="Standard"/>
    <w:next w:val="Standard"/>
    <w:uiPriority w:val="99"/>
    <w:rPr>
      <w:rFonts w:ascii="Myriad-Roman" w:hAnsi="Myriad-Roman" w:cs="Myriad-Roman"/>
      <w:sz w:val="16"/>
      <w:szCs w:val="16"/>
    </w:rPr>
  </w:style>
  <w:style w:type="paragraph" w:customStyle="1" w:styleId="Style3">
    <w:name w:val="Style3"/>
    <w:basedOn w:val="Standard"/>
    <w:next w:val="Standard"/>
    <w:uiPriority w:val="99"/>
    <w:rPr>
      <w:rFonts w:ascii="Myriad Pro-Semibold" w:hAnsi="Myriad Pro-Semibold" w:cs="Myriad Pro-Semibold"/>
      <w:sz w:val="98"/>
      <w:szCs w:val="98"/>
    </w:rPr>
  </w:style>
  <w:style w:type="paragraph" w:customStyle="1" w:styleId="Style4">
    <w:name w:val="Style4"/>
    <w:basedOn w:val="Standard"/>
    <w:next w:val="Standard"/>
    <w:uiPriority w:val="99"/>
    <w:rPr>
      <w:rFonts w:ascii="Myriad Pro-Bold" w:hAnsi="Myriad Pro-Bold" w:cs="Myriad Pro-Bold"/>
      <w:sz w:val="44"/>
      <w:szCs w:val="44"/>
    </w:rPr>
  </w:style>
  <w:style w:type="paragraph" w:customStyle="1" w:styleId="Style5">
    <w:name w:val="Style5"/>
    <w:basedOn w:val="Standard"/>
    <w:next w:val="Standard"/>
    <w:uiPriority w:val="99"/>
    <w:rPr>
      <w:rFonts w:ascii="Myriad Pro-Regular" w:hAnsi="Myriad Pro-Regular" w:cs="Myriad Pro-Regular"/>
      <w:sz w:val="66"/>
      <w:szCs w:val="66"/>
    </w:rPr>
  </w:style>
  <w:style w:type="paragraph" w:customStyle="1" w:styleId="Style6">
    <w:name w:val="Style6"/>
    <w:basedOn w:val="Standard"/>
    <w:next w:val="Standard"/>
    <w:uiPriority w:val="99"/>
    <w:rPr>
      <w:rFonts w:ascii="Zapf Dingbats" w:hAnsi="Zapf Dingbats" w:cs="Zapf Dingbats"/>
      <w:sz w:val="36"/>
      <w:szCs w:val="36"/>
    </w:rPr>
  </w:style>
  <w:style w:type="paragraph" w:customStyle="1" w:styleId="Style7">
    <w:name w:val="Style7"/>
    <w:basedOn w:val="Standard"/>
    <w:next w:val="Standard"/>
    <w:uiPriority w:val="99"/>
    <w:rPr>
      <w:rFonts w:ascii="Myriad Pro-It" w:hAnsi="Myriad Pro-It" w:cs="Myriad Pro-It"/>
    </w:rPr>
  </w:style>
  <w:style w:type="paragraph" w:customStyle="1" w:styleId="Style8">
    <w:name w:val="Style8"/>
    <w:basedOn w:val="Standard"/>
    <w:next w:val="Standard"/>
    <w:uiPriority w:val="99"/>
  </w:style>
  <w:style w:type="paragraph" w:customStyle="1" w:styleId="Style9">
    <w:name w:val="Style9"/>
    <w:basedOn w:val="Standard"/>
    <w:next w:val="Standard"/>
    <w:uiPriority w:val="99"/>
    <w:rPr>
      <w:sz w:val="30"/>
      <w:szCs w:val="30"/>
    </w:rPr>
  </w:style>
  <w:style w:type="paragraph" w:customStyle="1" w:styleId="Style10">
    <w:name w:val="Style10"/>
    <w:basedOn w:val="Standard"/>
    <w:next w:val="Standard"/>
    <w:uiPriority w:val="99"/>
    <w:rPr>
      <w:sz w:val="22"/>
      <w:szCs w:val="22"/>
    </w:rPr>
  </w:style>
  <w:style w:type="paragraph" w:customStyle="1" w:styleId="Style11">
    <w:name w:val="Style11"/>
    <w:basedOn w:val="Standard"/>
    <w:next w:val="Standard"/>
    <w:uiPriority w:val="99"/>
    <w:rPr>
      <w:sz w:val="12"/>
      <w:szCs w:val="12"/>
    </w:rPr>
  </w:style>
  <w:style w:type="paragraph" w:customStyle="1" w:styleId="Style12">
    <w:name w:val="Style12"/>
    <w:basedOn w:val="Standard"/>
    <w:next w:val="Standard"/>
    <w:uiPriority w:val="99"/>
    <w:rPr>
      <w:sz w:val="32"/>
      <w:szCs w:val="32"/>
    </w:rPr>
  </w:style>
  <w:style w:type="paragraph" w:customStyle="1" w:styleId="Style13">
    <w:name w:val="Style13"/>
    <w:basedOn w:val="Standard"/>
    <w:next w:val="Standard"/>
    <w:uiPriority w:val="99"/>
    <w:rPr>
      <w:sz w:val="24"/>
      <w:szCs w:val="24"/>
    </w:rPr>
  </w:style>
  <w:style w:type="paragraph" w:customStyle="1" w:styleId="Style14">
    <w:name w:val="Style14"/>
    <w:basedOn w:val="Standard"/>
    <w:next w:val="Standard"/>
    <w:uiPriority w:val="99"/>
    <w:rPr>
      <w:sz w:val="18"/>
      <w:szCs w:val="18"/>
    </w:rPr>
  </w:style>
  <w:style w:type="paragraph" w:customStyle="1" w:styleId="Style15">
    <w:name w:val="Style15"/>
    <w:basedOn w:val="Standard"/>
    <w:next w:val="Standard"/>
    <w:uiPriority w:val="99"/>
    <w:rPr>
      <w:sz w:val="18"/>
      <w:szCs w:val="18"/>
    </w:rPr>
  </w:style>
  <w:style w:type="paragraph" w:customStyle="1" w:styleId="Style16">
    <w:name w:val="Style16"/>
    <w:basedOn w:val="Standard"/>
    <w:next w:val="Standard"/>
    <w:uiPriority w:val="99"/>
    <w:rPr>
      <w:sz w:val="18"/>
      <w:szCs w:val="18"/>
    </w:rPr>
  </w:style>
  <w:style w:type="paragraph" w:customStyle="1" w:styleId="Style17">
    <w:name w:val="Style17"/>
    <w:basedOn w:val="Standard"/>
    <w:next w:val="Standard"/>
    <w:uiPriority w:val="99"/>
    <w:rPr>
      <w:sz w:val="26"/>
      <w:szCs w:val="26"/>
    </w:rPr>
  </w:style>
  <w:style w:type="paragraph" w:customStyle="1" w:styleId="Style18">
    <w:name w:val="Style18"/>
    <w:basedOn w:val="Standard"/>
    <w:next w:val="Standard"/>
    <w:uiPriority w:val="99"/>
  </w:style>
  <w:style w:type="paragraph" w:customStyle="1" w:styleId="Style19">
    <w:name w:val="Style19"/>
    <w:basedOn w:val="Standard"/>
    <w:next w:val="Standard"/>
    <w:uiPriority w:val="99"/>
    <w:rPr>
      <w:sz w:val="18"/>
      <w:szCs w:val="18"/>
    </w:rPr>
  </w:style>
  <w:style w:type="paragraph" w:customStyle="1" w:styleId="Style20">
    <w:name w:val="Style20"/>
    <w:basedOn w:val="Standard"/>
    <w:next w:val="Standard"/>
    <w:uiPriority w:val="99"/>
    <w:rPr>
      <w:sz w:val="18"/>
      <w:szCs w:val="18"/>
    </w:rPr>
  </w:style>
  <w:style w:type="paragraph" w:customStyle="1" w:styleId="Style21">
    <w:name w:val="Style21"/>
    <w:basedOn w:val="Standard"/>
    <w:next w:val="Standard"/>
    <w:uiPriority w:val="99"/>
    <w:rPr>
      <w:sz w:val="14"/>
      <w:szCs w:val="14"/>
    </w:rPr>
  </w:style>
  <w:style w:type="paragraph" w:customStyle="1" w:styleId="Style22">
    <w:name w:val="Style22"/>
    <w:basedOn w:val="Standard"/>
    <w:next w:val="Standard"/>
    <w:uiPriority w:val="99"/>
    <w:rPr>
      <w:sz w:val="14"/>
      <w:szCs w:val="14"/>
    </w:rPr>
  </w:style>
  <w:style w:type="paragraph" w:customStyle="1" w:styleId="Style23">
    <w:name w:val="Style23"/>
    <w:basedOn w:val="Standard"/>
    <w:next w:val="Standard"/>
    <w:uiPriority w:val="99"/>
    <w:rPr>
      <w:sz w:val="14"/>
      <w:szCs w:val="14"/>
    </w:rPr>
  </w:style>
  <w:style w:type="paragraph" w:styleId="Kopfzeile">
    <w:name w:val="header"/>
    <w:basedOn w:val="Standard"/>
    <w:link w:val="KopfzeileZchn"/>
    <w:uiPriority w:val="99"/>
    <w:unhideWhenUsed/>
    <w:rsid w:val="00674FB4"/>
    <w:pPr>
      <w:tabs>
        <w:tab w:val="center" w:pos="4536"/>
        <w:tab w:val="right" w:pos="9072"/>
      </w:tabs>
    </w:pPr>
  </w:style>
  <w:style w:type="character" w:customStyle="1" w:styleId="KopfzeileZchn">
    <w:name w:val="Kopfzeile Zchn"/>
    <w:basedOn w:val="Absatz-Standardschriftart"/>
    <w:link w:val="Kopfzeile"/>
    <w:uiPriority w:val="99"/>
    <w:locked/>
    <w:rsid w:val="00674FB4"/>
    <w:rPr>
      <w:rFonts w:ascii="Chantilly Regular" w:hAnsi="Chantilly Regular" w:cs="Chantilly Regular"/>
      <w:sz w:val="20"/>
      <w:szCs w:val="20"/>
    </w:rPr>
  </w:style>
  <w:style w:type="paragraph" w:styleId="Fuzeile">
    <w:name w:val="footer"/>
    <w:basedOn w:val="Standard"/>
    <w:link w:val="FuzeileZchn"/>
    <w:uiPriority w:val="99"/>
    <w:unhideWhenUsed/>
    <w:rsid w:val="00674FB4"/>
    <w:pPr>
      <w:tabs>
        <w:tab w:val="center" w:pos="4536"/>
        <w:tab w:val="right" w:pos="9072"/>
      </w:tabs>
    </w:pPr>
  </w:style>
  <w:style w:type="character" w:customStyle="1" w:styleId="FuzeileZchn">
    <w:name w:val="Fußzeile Zchn"/>
    <w:basedOn w:val="Absatz-Standardschriftart"/>
    <w:link w:val="Fuzeile"/>
    <w:uiPriority w:val="99"/>
    <w:locked/>
    <w:rsid w:val="00674FB4"/>
    <w:rPr>
      <w:rFonts w:ascii="Chantilly Regular" w:hAnsi="Chantilly Regular" w:cs="Chantilly Regular"/>
      <w:sz w:val="20"/>
      <w:szCs w:val="20"/>
    </w:rPr>
  </w:style>
  <w:style w:type="paragraph" w:styleId="Sprechblasentext">
    <w:name w:val="Balloon Text"/>
    <w:basedOn w:val="Standard"/>
    <w:link w:val="SprechblasentextZchn"/>
    <w:uiPriority w:val="99"/>
    <w:semiHidden/>
    <w:unhideWhenUsed/>
    <w:rsid w:val="00674F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74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HFrank</dc:creator>
  <cp:lastModifiedBy>HFrank</cp:lastModifiedBy>
  <cp:revision>2</cp:revision>
  <dcterms:created xsi:type="dcterms:W3CDTF">2021-02-08T17:42:00Z</dcterms:created>
  <dcterms:modified xsi:type="dcterms:W3CDTF">2021-02-08T17:42:00Z</dcterms:modified>
</cp:coreProperties>
</file>